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754685" w14:textId="77777777" w:rsidR="00E31709" w:rsidRPr="007E0856" w:rsidRDefault="00E31709" w:rsidP="00E31709">
      <w:pPr>
        <w:spacing w:after="0"/>
        <w:jc w:val="center"/>
        <w:rPr>
          <w:rFonts w:ascii="Helvetica" w:hAnsi="Helvetica"/>
          <w:b/>
          <w:bCs/>
          <w:color w:val="00CC00"/>
          <w:sz w:val="56"/>
          <w:szCs w:val="56"/>
        </w:rPr>
      </w:pPr>
      <w:r w:rsidRPr="007E0856">
        <w:rPr>
          <w:rFonts w:ascii="Helvetica" w:hAnsi="Helvetica"/>
          <w:b/>
          <w:bCs/>
          <w:color w:val="00CC00"/>
          <w:sz w:val="56"/>
          <w:szCs w:val="56"/>
        </w:rPr>
        <w:t>Pathogen Cleanse</w:t>
      </w:r>
    </w:p>
    <w:p w14:paraId="1D1F2AC5" w14:textId="77777777" w:rsidR="00E31709" w:rsidRDefault="00E31709" w:rsidP="00E31709">
      <w:pPr>
        <w:spacing w:after="100" w:afterAutospacing="1" w:line="240" w:lineRule="auto"/>
        <w:rPr>
          <w:rFonts w:ascii="Helvetica" w:eastAsia="Times New Roman" w:hAnsi="Helvetica" w:cs="Times New Roman"/>
          <w:kern w:val="0"/>
          <w14:ligatures w14:val="none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CBF484F" wp14:editId="0145EC8C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2537460" cy="2112645"/>
            <wp:effectExtent l="0" t="0" r="0" b="1905"/>
            <wp:wrapSquare wrapText="bothSides"/>
            <wp:docPr id="174486249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9468" cy="2114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For the following conditions, combine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Duo and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BB, start a 30-day program (2 boxes of each), and repeat if necessary. On completion, maintain with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at 1 per day. </w:t>
      </w:r>
    </w:p>
    <w:p w14:paraId="4FB881DC" w14:textId="77777777" w:rsidR="00E31709" w:rsidRPr="001D72C8" w:rsidRDefault="00E31709" w:rsidP="00E31709">
      <w:pPr>
        <w:spacing w:before="100" w:beforeAutospacing="1" w:after="100" w:afterAutospacing="1" w:line="240" w:lineRule="auto"/>
        <w:rPr>
          <w:rFonts w:ascii="Helvetica" w:eastAsia="Times New Roman" w:hAnsi="Helvetica" w:cs="Times New Roman"/>
          <w:kern w:val="0"/>
          <w14:ligatures w14:val="none"/>
        </w:rPr>
      </w:pPr>
      <w:r>
        <w:rPr>
          <w:rFonts w:ascii="Helvetica" w:eastAsia="Times New Roman" w:hAnsi="Helvetica" w:cs="Times New Roman"/>
          <w:b/>
          <w:bCs/>
          <w:kern w:val="0"/>
          <w:sz w:val="28"/>
          <w:szCs w:val="28"/>
          <w14:ligatures w14:val="none"/>
        </w:rPr>
        <w:t xml:space="preserve">Pathogen Cleanse </w:t>
      </w:r>
      <w:r w:rsidRPr="00493A7F">
        <w:rPr>
          <w:rFonts w:ascii="Helvetica" w:eastAsia="Times New Roman" w:hAnsi="Helvetica" w:cs="Times New Roman"/>
          <w:b/>
          <w:bCs/>
          <w:kern w:val="0"/>
          <w:sz w:val="28"/>
          <w:szCs w:val="28"/>
          <w14:ligatures w14:val="none"/>
        </w:rPr>
        <w:t xml:space="preserve">Program </w:t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                                                                                                                                                </w:t>
      </w:r>
      <w:r w:rsidRPr="0059532E">
        <w:rPr>
          <w:rFonts w:ascii="Helvetica" w:eastAsia="Times New Roman" w:hAnsi="Helvetica" w:cs="Times New Roman"/>
          <w:b/>
          <w:bCs/>
          <w:kern w:val="0"/>
          <w14:ligatures w14:val="none"/>
        </w:rPr>
        <w:t>AM</w:t>
      </w:r>
      <w:r>
        <w:rPr>
          <w:rFonts w:ascii="Helvetica" w:eastAsia="Times New Roman" w:hAnsi="Helvetica" w:cs="Times New Roman"/>
          <w:b/>
          <w:bCs/>
          <w:kern w:val="0"/>
          <w14:ligatures w14:val="none"/>
        </w:rPr>
        <w:t>.</w:t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  1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Duo Tablet 1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BB Capsule.                                                                                 </w:t>
      </w:r>
      <w:r w:rsidRPr="0059532E">
        <w:rPr>
          <w:rFonts w:ascii="Helvetica" w:eastAsia="Times New Roman" w:hAnsi="Helvetica" w:cs="Times New Roman"/>
          <w:b/>
          <w:bCs/>
          <w:kern w:val="0"/>
          <w14:ligatures w14:val="none"/>
        </w:rPr>
        <w:t>PM</w:t>
      </w:r>
      <w:r>
        <w:rPr>
          <w:rFonts w:ascii="Helvetica" w:eastAsia="Times New Roman" w:hAnsi="Helvetica" w:cs="Times New Roman"/>
          <w:b/>
          <w:bCs/>
          <w:kern w:val="0"/>
          <w14:ligatures w14:val="none"/>
        </w:rPr>
        <w:t>.</w:t>
      </w:r>
      <w:r>
        <w:rPr>
          <w:rFonts w:ascii="Helvetica" w:eastAsia="Times New Roman" w:hAnsi="Helvetica" w:cs="Times New Roman"/>
          <w:kern w:val="0"/>
          <w14:ligatures w14:val="none"/>
        </w:rPr>
        <w:t xml:space="preserve">  1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Duo Capsule 1 </w:t>
      </w:r>
      <w:proofErr w:type="spellStart"/>
      <w:r>
        <w:rPr>
          <w:rFonts w:ascii="Helvetica" w:eastAsia="Times New Roman" w:hAnsi="Helvetica" w:cs="Times New Roman"/>
          <w:kern w:val="0"/>
          <w14:ligatures w14:val="none"/>
        </w:rPr>
        <w:t>Colicron</w:t>
      </w:r>
      <w:proofErr w:type="spellEnd"/>
      <w:r>
        <w:rPr>
          <w:rFonts w:ascii="Helvetica" w:eastAsia="Times New Roman" w:hAnsi="Helvetica" w:cs="Times New Roman"/>
          <w:kern w:val="0"/>
          <w14:ligatures w14:val="none"/>
        </w:rPr>
        <w:t xml:space="preserve"> BB Capsule</w:t>
      </w:r>
    </w:p>
    <w:p w14:paraId="745ABAE5" w14:textId="77777777" w:rsidR="00E31709" w:rsidRPr="007E0856" w:rsidRDefault="00E31709" w:rsidP="00E31709">
      <w:pPr>
        <w:spacing w:before="100" w:beforeAutospacing="1" w:after="0" w:line="240" w:lineRule="auto"/>
        <w:rPr>
          <w:rFonts w:ascii="Helvetica" w:eastAsia="Times New Roman" w:hAnsi="Helvetica" w:cs="Times New Roman"/>
          <w:kern w:val="0"/>
          <w:sz w:val="32"/>
          <w:szCs w:val="32"/>
          <w14:ligatures w14:val="none"/>
        </w:rPr>
      </w:pPr>
      <w:proofErr w:type="spellStart"/>
      <w:r w:rsidRPr="008C26F3">
        <w:rPr>
          <w:rFonts w:ascii="Helvetica" w:hAnsi="Helvetica"/>
          <w:b/>
          <w:bCs/>
          <w:sz w:val="28"/>
          <w:szCs w:val="28"/>
        </w:rPr>
        <w:t>Colicron</w:t>
      </w:r>
      <w:proofErr w:type="spellEnd"/>
      <w:r w:rsidRPr="008C26F3">
        <w:rPr>
          <w:rFonts w:ascii="Helvetica" w:hAnsi="Helvetica"/>
          <w:b/>
          <w:bCs/>
          <w:sz w:val="28"/>
          <w:szCs w:val="28"/>
        </w:rPr>
        <w:t xml:space="preserve"> </w:t>
      </w:r>
      <w:r w:rsidRPr="008C26F3">
        <w:rPr>
          <w:rFonts w:ascii="Helvetica" w:hAnsi="Helvetica"/>
          <w:b/>
          <w:bCs/>
          <w:i/>
          <w:iCs/>
          <w:sz w:val="28"/>
          <w:szCs w:val="28"/>
        </w:rPr>
        <w:t>Duo</w:t>
      </w:r>
      <w:r>
        <w:rPr>
          <w:rFonts w:ascii="Helvetica" w:hAnsi="Helvetica"/>
          <w:b/>
          <w:bCs/>
          <w:i/>
          <w:iCs/>
          <w:sz w:val="32"/>
          <w:szCs w:val="32"/>
        </w:rPr>
        <w:t xml:space="preserve"> - </w:t>
      </w:r>
      <w:r w:rsidRPr="00E647BE">
        <w:t>Is unique in that each box contains 15 tablets and 15 capsules</w:t>
      </w:r>
      <w:r>
        <w:t>.</w:t>
      </w:r>
    </w:p>
    <w:p w14:paraId="57C0EB8F" w14:textId="77777777" w:rsidR="00E31709" w:rsidRPr="00F704F8" w:rsidRDefault="00E31709" w:rsidP="00E31709">
      <w:pPr>
        <w:pStyle w:val="p3"/>
        <w:rPr>
          <w:b/>
          <w:bCs/>
          <w:sz w:val="24"/>
          <w:szCs w:val="24"/>
        </w:rPr>
      </w:pPr>
      <w:r w:rsidRPr="00F704F8">
        <w:rPr>
          <w:rStyle w:val="s1"/>
          <w:rFonts w:eastAsiaTheme="majorEastAsia"/>
          <w:b/>
          <w:bCs/>
          <w:sz w:val="24"/>
          <w:szCs w:val="24"/>
        </w:rPr>
        <w:t xml:space="preserve">Each tablet contains </w:t>
      </w:r>
      <w:r w:rsidRPr="00F704F8">
        <w:rPr>
          <w:b/>
          <w:bCs/>
          <w:sz w:val="24"/>
          <w:szCs w:val="24"/>
        </w:rPr>
        <w:t>Berberine and Quercetin</w:t>
      </w:r>
    </w:p>
    <w:p w14:paraId="1F19BD45" w14:textId="77777777" w:rsidR="00E31709" w:rsidRPr="008C26F3" w:rsidRDefault="00E31709" w:rsidP="00E31709">
      <w:pPr>
        <w:pStyle w:val="p1"/>
        <w:rPr>
          <w:color w:val="auto"/>
          <w:sz w:val="24"/>
          <w:szCs w:val="24"/>
        </w:rPr>
      </w:pPr>
      <w:r w:rsidRPr="008C26F3">
        <w:rPr>
          <w:color w:val="auto"/>
          <w:sz w:val="24"/>
          <w:szCs w:val="24"/>
        </w:rPr>
        <w:t>Offering broad-spectrum antimicrobial activity against various pathogens, including</w:t>
      </w:r>
    </w:p>
    <w:p w14:paraId="397EBE42" w14:textId="77777777" w:rsidR="00E31709" w:rsidRPr="008C26F3" w:rsidRDefault="00E31709" w:rsidP="00E31709">
      <w:pPr>
        <w:spacing w:after="0" w:line="240" w:lineRule="auto"/>
        <w:rPr>
          <w:rFonts w:ascii="Helvetica" w:eastAsia="Times New Roman" w:hAnsi="Helvetica" w:cs="Times New Roman"/>
          <w:kern w:val="0"/>
          <w14:ligatures w14:val="none"/>
        </w:rPr>
      </w:pPr>
      <w:r w:rsidRPr="008C26F3">
        <w:rPr>
          <w:rFonts w:ascii="Helvetica" w:eastAsia="Times New Roman" w:hAnsi="Helvetica" w:cs="Times New Roman"/>
          <w:kern w:val="0"/>
          <w14:ligatures w14:val="none"/>
        </w:rPr>
        <w:t xml:space="preserve">bacteria, fungi, and parasites. Inhibiting the harmful species, while at the same time being </w:t>
      </w:r>
    </w:p>
    <w:p w14:paraId="4E55BAAC" w14:textId="77777777" w:rsidR="00E31709" w:rsidRPr="008C26F3" w:rsidRDefault="00E31709" w:rsidP="00E31709">
      <w:pPr>
        <w:spacing w:after="0" w:line="240" w:lineRule="auto"/>
        <w:rPr>
          <w:rFonts w:ascii="Helvetica" w:eastAsia="Times New Roman" w:hAnsi="Helvetica" w:cs="Times New Roman"/>
          <w:kern w:val="0"/>
          <w14:ligatures w14:val="none"/>
        </w:rPr>
      </w:pPr>
      <w:r w:rsidRPr="008C26F3">
        <w:rPr>
          <w:rFonts w:ascii="Helvetica" w:eastAsia="Times New Roman" w:hAnsi="Helvetica" w:cs="Times New Roman"/>
          <w:kern w:val="0"/>
          <w14:ligatures w14:val="none"/>
        </w:rPr>
        <w:t>selective and promoting the growth of beneficial bacteria in the microbiome.</w:t>
      </w:r>
    </w:p>
    <w:p w14:paraId="49E74A60" w14:textId="77777777" w:rsidR="00E31709" w:rsidRPr="008C26F3" w:rsidRDefault="00E31709" w:rsidP="00E31709">
      <w:pPr>
        <w:spacing w:after="0" w:line="240" w:lineRule="auto"/>
        <w:rPr>
          <w:rFonts w:ascii="Helvetica" w:eastAsia="Times New Roman" w:hAnsi="Helvetica" w:cs="Times New Roman"/>
          <w:kern w:val="0"/>
          <w14:ligatures w14:val="none"/>
        </w:rPr>
      </w:pPr>
      <w:r w:rsidRPr="008C26F3">
        <w:rPr>
          <w:rFonts w:ascii="Helvetica" w:eastAsia="Times New Roman" w:hAnsi="Helvetica" w:cs="Times New Roman"/>
          <w:kern w:val="0"/>
          <w14:ligatures w14:val="none"/>
        </w:rPr>
        <w:t>Both Berberine and Quercetin support the integrity of the intestinal barrier by enhancing tight junction proteins, thus reducing intestinal permeability (leaky gut).</w:t>
      </w:r>
    </w:p>
    <w:p w14:paraId="491D224F" w14:textId="77777777" w:rsidR="00E31709" w:rsidRPr="008C26F3" w:rsidRDefault="00E31709" w:rsidP="00E31709">
      <w:pPr>
        <w:spacing w:after="0" w:line="240" w:lineRule="auto"/>
        <w:rPr>
          <w:rFonts w:ascii="Helvetica" w:eastAsia="Times New Roman" w:hAnsi="Helvetica" w:cs="Times New Roman"/>
          <w:kern w:val="0"/>
          <w14:ligatures w14:val="none"/>
        </w:rPr>
      </w:pPr>
      <w:r w:rsidRPr="008C26F3">
        <w:rPr>
          <w:rFonts w:ascii="Helvetica" w:eastAsia="Times New Roman" w:hAnsi="Helvetica" w:cs="Times New Roman"/>
          <w:kern w:val="0"/>
          <w14:ligatures w14:val="none"/>
        </w:rPr>
        <w:t>Both reduce inflammation in the gut.</w:t>
      </w:r>
    </w:p>
    <w:p w14:paraId="7DBA1DF1" w14:textId="77777777" w:rsidR="00E31709" w:rsidRPr="008C26F3" w:rsidRDefault="00E31709" w:rsidP="00E31709">
      <w:pPr>
        <w:pStyle w:val="p3"/>
        <w:rPr>
          <w:color w:val="auto"/>
          <w:sz w:val="24"/>
          <w:szCs w:val="24"/>
        </w:rPr>
      </w:pPr>
    </w:p>
    <w:p w14:paraId="681BA04F" w14:textId="77777777" w:rsidR="00E31709" w:rsidRPr="008C26F3" w:rsidRDefault="00E31709" w:rsidP="00E31709">
      <w:pPr>
        <w:pStyle w:val="p3"/>
        <w:rPr>
          <w:b/>
          <w:bCs/>
          <w:color w:val="auto"/>
          <w:sz w:val="24"/>
          <w:szCs w:val="24"/>
        </w:rPr>
      </w:pPr>
      <w:r w:rsidRPr="008C26F3">
        <w:rPr>
          <w:b/>
          <w:bCs/>
          <w:color w:val="auto"/>
          <w:sz w:val="24"/>
          <w:szCs w:val="24"/>
        </w:rPr>
        <w:t xml:space="preserve">Each Capsule contains Lactobacillus </w:t>
      </w:r>
      <w:proofErr w:type="spellStart"/>
      <w:r w:rsidRPr="008C26F3">
        <w:rPr>
          <w:b/>
          <w:bCs/>
          <w:color w:val="auto"/>
          <w:sz w:val="24"/>
          <w:szCs w:val="24"/>
        </w:rPr>
        <w:t>Rhamnosus</w:t>
      </w:r>
      <w:proofErr w:type="spellEnd"/>
      <w:r w:rsidRPr="008C26F3">
        <w:rPr>
          <w:b/>
          <w:bCs/>
          <w:color w:val="auto"/>
          <w:sz w:val="24"/>
          <w:szCs w:val="24"/>
        </w:rPr>
        <w:t xml:space="preserve"> GG (LGG), PEA, </w:t>
      </w:r>
      <w:proofErr w:type="spellStart"/>
      <w:r w:rsidRPr="008C26F3">
        <w:rPr>
          <w:b/>
          <w:bCs/>
          <w:color w:val="auto"/>
          <w:sz w:val="24"/>
          <w:szCs w:val="24"/>
        </w:rPr>
        <w:t>Undaria</w:t>
      </w:r>
      <w:proofErr w:type="spellEnd"/>
      <w:r w:rsidRPr="008C26F3">
        <w:rPr>
          <w:b/>
          <w:bCs/>
          <w:color w:val="auto"/>
          <w:sz w:val="24"/>
          <w:szCs w:val="24"/>
        </w:rPr>
        <w:t xml:space="preserve"> and Hericium.</w:t>
      </w:r>
    </w:p>
    <w:p w14:paraId="06E1D6FC" w14:textId="77777777" w:rsidR="00E31709" w:rsidRPr="008C26F3" w:rsidRDefault="00E31709" w:rsidP="00E31709">
      <w:pPr>
        <w:pStyle w:val="p1"/>
        <w:rPr>
          <w:color w:val="auto"/>
        </w:rPr>
      </w:pPr>
      <w:r w:rsidRPr="008C26F3">
        <w:rPr>
          <w:color w:val="auto"/>
          <w:sz w:val="24"/>
          <w:szCs w:val="24"/>
        </w:rPr>
        <w:t xml:space="preserve">LGG is the most studied </w:t>
      </w:r>
      <w:r>
        <w:rPr>
          <w:color w:val="auto"/>
          <w:sz w:val="24"/>
          <w:szCs w:val="24"/>
        </w:rPr>
        <w:t>p</w:t>
      </w:r>
      <w:r w:rsidRPr="008C26F3">
        <w:rPr>
          <w:color w:val="auto"/>
          <w:sz w:val="24"/>
          <w:szCs w:val="24"/>
        </w:rPr>
        <w:t>robiotic in history</w:t>
      </w:r>
      <w:r>
        <w:rPr>
          <w:color w:val="auto"/>
          <w:sz w:val="24"/>
          <w:szCs w:val="24"/>
        </w:rPr>
        <w:t>.</w:t>
      </w:r>
      <w:r w:rsidRPr="008C26F3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I</w:t>
      </w:r>
      <w:r w:rsidRPr="008C26F3">
        <w:rPr>
          <w:color w:val="auto"/>
          <w:sz w:val="24"/>
          <w:szCs w:val="24"/>
        </w:rPr>
        <w:t xml:space="preserve">t thrives on the sugars from fruits and </w:t>
      </w:r>
      <w:r>
        <w:rPr>
          <w:color w:val="auto"/>
          <w:sz w:val="24"/>
          <w:szCs w:val="24"/>
        </w:rPr>
        <w:t>vegetables and outcompetes</w:t>
      </w:r>
      <w:r w:rsidRPr="008C26F3">
        <w:rPr>
          <w:color w:val="auto"/>
          <w:sz w:val="24"/>
          <w:szCs w:val="24"/>
        </w:rPr>
        <w:t xml:space="preserve"> the pathogens within our gut. The other 3 ingredients</w:t>
      </w:r>
      <w:r>
        <w:rPr>
          <w:color w:val="auto"/>
          <w:sz w:val="24"/>
          <w:szCs w:val="24"/>
        </w:rPr>
        <w:t>:</w:t>
      </w:r>
      <w:r w:rsidRPr="008C26F3">
        <w:rPr>
          <w:color w:val="auto"/>
          <w:sz w:val="24"/>
          <w:szCs w:val="24"/>
        </w:rPr>
        <w:t xml:space="preserve"> PEA, </w:t>
      </w:r>
      <w:proofErr w:type="spellStart"/>
      <w:r w:rsidRPr="008C26F3">
        <w:rPr>
          <w:color w:val="auto"/>
          <w:sz w:val="24"/>
          <w:szCs w:val="24"/>
        </w:rPr>
        <w:t>Undaria</w:t>
      </w:r>
      <w:proofErr w:type="spellEnd"/>
      <w:r>
        <w:rPr>
          <w:color w:val="auto"/>
          <w:sz w:val="24"/>
          <w:szCs w:val="24"/>
        </w:rPr>
        <w:t>,</w:t>
      </w:r>
      <w:r w:rsidRPr="008C26F3">
        <w:rPr>
          <w:color w:val="auto"/>
          <w:sz w:val="24"/>
          <w:szCs w:val="24"/>
        </w:rPr>
        <w:t xml:space="preserve"> and Hericium</w:t>
      </w:r>
      <w:r>
        <w:rPr>
          <w:color w:val="auto"/>
          <w:sz w:val="24"/>
          <w:szCs w:val="24"/>
        </w:rPr>
        <w:t>,</w:t>
      </w:r>
      <w:r w:rsidRPr="008C26F3">
        <w:rPr>
          <w:color w:val="auto"/>
          <w:sz w:val="24"/>
          <w:szCs w:val="24"/>
        </w:rPr>
        <w:t xml:space="preserve"> offer the following benefits</w:t>
      </w:r>
      <w:r>
        <w:rPr>
          <w:color w:val="auto"/>
          <w:sz w:val="24"/>
          <w:szCs w:val="24"/>
        </w:rPr>
        <w:t>…</w:t>
      </w:r>
    </w:p>
    <w:p w14:paraId="210144AF" w14:textId="77777777" w:rsidR="00E31709" w:rsidRPr="00C60F39" w:rsidRDefault="00E31709" w:rsidP="00E31709">
      <w:pPr>
        <w:pStyle w:val="p1"/>
        <w:numPr>
          <w:ilvl w:val="0"/>
          <w:numId w:val="1"/>
        </w:numPr>
        <w:rPr>
          <w:color w:val="101010"/>
          <w:sz w:val="24"/>
          <w:szCs w:val="24"/>
        </w:rPr>
      </w:pPr>
      <w:r w:rsidRPr="00C60F39">
        <w:rPr>
          <w:color w:val="101010"/>
          <w:sz w:val="24"/>
          <w:szCs w:val="24"/>
        </w:rPr>
        <w:t>Act as Pre and Probiotics</w:t>
      </w:r>
    </w:p>
    <w:p w14:paraId="48B4BDD2" w14:textId="77777777" w:rsidR="00E31709" w:rsidRPr="0022427F" w:rsidRDefault="00E31709" w:rsidP="00E31709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Times New Roman"/>
          <w:color w:val="101010"/>
          <w:kern w:val="0"/>
          <w14:ligatures w14:val="none"/>
        </w:rPr>
      </w:pPr>
      <w:r w:rsidRPr="0022427F">
        <w:rPr>
          <w:rFonts w:ascii="Helvetica" w:eastAsia="Times New Roman" w:hAnsi="Helvetica" w:cs="Times New Roman"/>
          <w:color w:val="101010"/>
          <w:kern w:val="0"/>
          <w14:ligatures w14:val="none"/>
        </w:rPr>
        <w:t>Are anti-inflammatory</w:t>
      </w:r>
    </w:p>
    <w:p w14:paraId="58E30FBB" w14:textId="77777777" w:rsidR="00E31709" w:rsidRPr="0022427F" w:rsidRDefault="00E31709" w:rsidP="00E31709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Times New Roman"/>
          <w:color w:val="101010"/>
          <w:kern w:val="0"/>
          <w14:ligatures w14:val="none"/>
        </w:rPr>
      </w:pPr>
      <w:r w:rsidRPr="0022427F">
        <w:rPr>
          <w:rFonts w:ascii="Helvetica" w:eastAsia="Times New Roman" w:hAnsi="Helvetica" w:cs="Times New Roman"/>
          <w:color w:val="101010"/>
          <w:kern w:val="0"/>
          <w14:ligatures w14:val="none"/>
        </w:rPr>
        <w:t>Improve gut permeability</w:t>
      </w:r>
    </w:p>
    <w:p w14:paraId="19DF6F19" w14:textId="77777777" w:rsidR="00E31709" w:rsidRPr="0022427F" w:rsidRDefault="00E31709" w:rsidP="00E31709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Times New Roman"/>
          <w:color w:val="101010"/>
          <w:kern w:val="0"/>
          <w14:ligatures w14:val="none"/>
        </w:rPr>
      </w:pPr>
      <w:r w:rsidRPr="0022427F">
        <w:rPr>
          <w:rFonts w:ascii="Helvetica" w:eastAsia="Times New Roman" w:hAnsi="Helvetica" w:cs="Times New Roman"/>
          <w:color w:val="101010"/>
          <w:kern w:val="0"/>
          <w14:ligatures w14:val="none"/>
        </w:rPr>
        <w:t>Help prevent diarrhea</w:t>
      </w:r>
    </w:p>
    <w:p w14:paraId="2BB5D6B8" w14:textId="77777777" w:rsidR="00E31709" w:rsidRPr="0022427F" w:rsidRDefault="00E31709" w:rsidP="00E31709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Times New Roman"/>
          <w:color w:val="101010"/>
          <w:kern w:val="0"/>
          <w14:ligatures w14:val="none"/>
        </w:rPr>
      </w:pPr>
      <w:r w:rsidRPr="0022427F">
        <w:rPr>
          <w:rFonts w:ascii="Helvetica" w:eastAsia="Times New Roman" w:hAnsi="Helvetica" w:cs="Times New Roman"/>
          <w:color w:val="101010"/>
          <w:kern w:val="0"/>
          <w14:ligatures w14:val="none"/>
        </w:rPr>
        <w:t>Act as an analgesic</w:t>
      </w:r>
    </w:p>
    <w:p w14:paraId="79FB1301" w14:textId="77777777" w:rsidR="00E31709" w:rsidRPr="0022427F" w:rsidRDefault="00E31709" w:rsidP="00E31709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Times New Roman"/>
          <w:color w:val="101010"/>
          <w:kern w:val="0"/>
          <w14:ligatures w14:val="none"/>
        </w:rPr>
      </w:pPr>
      <w:r w:rsidRPr="0022427F">
        <w:rPr>
          <w:rFonts w:ascii="Helvetica" w:eastAsia="Times New Roman" w:hAnsi="Helvetica" w:cs="Times New Roman"/>
          <w:color w:val="101010"/>
          <w:kern w:val="0"/>
          <w14:ligatures w14:val="none"/>
        </w:rPr>
        <w:t>Repair gut lining and tissue</w:t>
      </w:r>
    </w:p>
    <w:p w14:paraId="3014F61D" w14:textId="77777777" w:rsidR="00E31709" w:rsidRPr="0022427F" w:rsidRDefault="00E31709" w:rsidP="00E31709">
      <w:pPr>
        <w:pStyle w:val="ListParagraph"/>
        <w:numPr>
          <w:ilvl w:val="0"/>
          <w:numId w:val="1"/>
        </w:numPr>
        <w:spacing w:after="0" w:line="240" w:lineRule="auto"/>
        <w:rPr>
          <w:rFonts w:ascii="Helvetica" w:eastAsia="Times New Roman" w:hAnsi="Helvetica" w:cs="Times New Roman"/>
          <w:color w:val="101010"/>
          <w:kern w:val="0"/>
          <w14:ligatures w14:val="none"/>
        </w:rPr>
      </w:pPr>
      <w:r w:rsidRPr="0022427F">
        <w:rPr>
          <w:rFonts w:ascii="Helvetica" w:eastAsia="Times New Roman" w:hAnsi="Helvetica" w:cs="Times New Roman"/>
          <w:color w:val="101010"/>
          <w:kern w:val="0"/>
          <w14:ligatures w14:val="none"/>
        </w:rPr>
        <w:t>Regulates intestinal transit</w:t>
      </w:r>
    </w:p>
    <w:p w14:paraId="2F328DFA" w14:textId="77777777" w:rsidR="00E31709" w:rsidRPr="00F704F8" w:rsidRDefault="00E31709" w:rsidP="00E31709">
      <w:pPr>
        <w:pStyle w:val="p3"/>
        <w:rPr>
          <w:b/>
          <w:bCs/>
          <w:sz w:val="24"/>
          <w:szCs w:val="24"/>
        </w:rPr>
      </w:pPr>
    </w:p>
    <w:p w14:paraId="417D88AF" w14:textId="77777777" w:rsidR="00E31709" w:rsidRPr="003F01D0" w:rsidRDefault="00E31709" w:rsidP="00E31709">
      <w:pPr>
        <w:rPr>
          <w:rFonts w:ascii="Helvetica" w:hAnsi="Helvetica"/>
        </w:rPr>
      </w:pPr>
      <w:proofErr w:type="spellStart"/>
      <w:r>
        <w:rPr>
          <w:rStyle w:val="Strong"/>
          <w:rFonts w:ascii="Helvetica" w:hAnsi="Helvetica"/>
          <w:sz w:val="28"/>
          <w:szCs w:val="28"/>
        </w:rPr>
        <w:t>Colicron</w:t>
      </w:r>
      <w:proofErr w:type="spellEnd"/>
      <w:r>
        <w:rPr>
          <w:rStyle w:val="Strong"/>
          <w:rFonts w:ascii="Helvetica" w:hAnsi="Helvetica"/>
          <w:sz w:val="28"/>
          <w:szCs w:val="28"/>
        </w:rPr>
        <w:t xml:space="preserve"> BB &amp; </w:t>
      </w:r>
      <w:r w:rsidRPr="00493A7F">
        <w:rPr>
          <w:rStyle w:val="Strong"/>
          <w:rFonts w:ascii="Helvetica" w:hAnsi="Helvetica"/>
          <w:sz w:val="28"/>
          <w:szCs w:val="28"/>
        </w:rPr>
        <w:t>Small Intestinal Bacterial Overgrowth</w:t>
      </w:r>
      <w:r w:rsidRPr="00493A7F"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(SIBO</w:t>
      </w:r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) - </w:t>
      </w:r>
      <w:r w:rsidRPr="00C3469F">
        <w:rPr>
          <w:rStyle w:val="Strong"/>
          <w:rFonts w:ascii="Helvetica" w:hAnsi="Helvetica"/>
        </w:rPr>
        <w:t>SIBO</w:t>
      </w:r>
      <w:r>
        <w:rPr>
          <w:rStyle w:val="Strong"/>
          <w:rFonts w:ascii="Helvetica" w:hAnsi="Helvetica"/>
        </w:rPr>
        <w:t xml:space="preserve"> </w:t>
      </w:r>
      <w:r w:rsidRPr="004A3A5B">
        <w:rPr>
          <w:rFonts w:ascii="Helvetica" w:hAnsi="Helvetica"/>
        </w:rPr>
        <w:t>is</w:t>
      </w:r>
      <w:r>
        <w:rPr>
          <w:rFonts w:ascii="Helvetica" w:hAnsi="Helvetica"/>
        </w:rPr>
        <w:t xml:space="preserve"> </w:t>
      </w:r>
      <w:r w:rsidRPr="00F20D37">
        <w:rPr>
          <w:rFonts w:ascii="Helvetica" w:hAnsi="Helvetica"/>
        </w:rPr>
        <w:t xml:space="preserve">characterized by an abnormal increase in the number of bacteria in the small </w:t>
      </w:r>
      <w:r w:rsidRPr="003F01D0">
        <w:rPr>
          <w:rFonts w:ascii="Helvetica" w:hAnsi="Helvetica" w:cs="Helvetica"/>
        </w:rPr>
        <w:t xml:space="preserve">intestine. Normally, the small intestine has a relatively low bacterial population compared to the colon. </w:t>
      </w:r>
      <w:proofErr w:type="spellStart"/>
      <w:r w:rsidRPr="003F01D0">
        <w:rPr>
          <w:rFonts w:ascii="Helvetica" w:eastAsia="Times New Roman" w:hAnsi="Helvetica" w:cs="Helvetica"/>
          <w:kern w:val="0"/>
          <w14:ligatures w14:val="none"/>
        </w:rPr>
        <w:t>Colicron</w:t>
      </w:r>
      <w:proofErr w:type="spellEnd"/>
      <w:r w:rsidRPr="003F01D0">
        <w:rPr>
          <w:rFonts w:ascii="Helvetica" w:eastAsia="Times New Roman" w:hAnsi="Helvetica" w:cs="Helvetica"/>
          <w:kern w:val="0"/>
          <w14:ligatures w14:val="none"/>
        </w:rPr>
        <w:t xml:space="preserve"> BB containing both </w:t>
      </w:r>
      <w:r w:rsidRPr="003F01D0">
        <w:rPr>
          <w:rFonts w:ascii="Helvetica" w:hAnsi="Helvetica" w:cs="Helvetica"/>
        </w:rPr>
        <w:t xml:space="preserve">Butyrate and Saccharomyces </w:t>
      </w:r>
      <w:proofErr w:type="spellStart"/>
      <w:r w:rsidRPr="003F01D0">
        <w:rPr>
          <w:rFonts w:ascii="Helvetica" w:hAnsi="Helvetica" w:cs="Helvetica"/>
        </w:rPr>
        <w:t>Boulardii</w:t>
      </w:r>
      <w:proofErr w:type="spellEnd"/>
      <w:r w:rsidRPr="003F01D0">
        <w:rPr>
          <w:rFonts w:ascii="Helvetica" w:hAnsi="Helvetica" w:cs="Helvetica"/>
        </w:rPr>
        <w:t xml:space="preserve"> is beneficial in managing SIBO by supporting gut health, restoring the microbial balance, and alleviating symptoms associated with the condition</w:t>
      </w:r>
      <w:r>
        <w:rPr>
          <w:rFonts w:ascii="Helvetica" w:hAnsi="Helvetica" w:cs="Helvetica"/>
        </w:rPr>
        <w:t>,</w:t>
      </w:r>
      <w:r w:rsidRPr="003F01D0">
        <w:rPr>
          <w:rFonts w:ascii="Helvetica" w:hAnsi="Helvetica" w:cs="Helvetica"/>
        </w:rPr>
        <w:t xml:space="preserve"> such as diarrhea and enhancing gut motility.</w:t>
      </w:r>
    </w:p>
    <w:p w14:paraId="07F18BC0" w14:textId="77777777" w:rsidR="00E31709" w:rsidRDefault="00E31709" w:rsidP="00E31709">
      <w:pPr>
        <w:rPr>
          <w:rFonts w:ascii="Helvetica" w:hAnsi="Helvetica"/>
          <w:b/>
          <w:bCs/>
          <w:color w:val="000000" w:themeColor="text1"/>
          <w:sz w:val="28"/>
          <w:szCs w:val="28"/>
        </w:rPr>
      </w:pPr>
      <w:proofErr w:type="spellStart"/>
      <w:r>
        <w:rPr>
          <w:rFonts w:ascii="Helvetica" w:hAnsi="Helvetica"/>
          <w:b/>
          <w:bCs/>
          <w:color w:val="000000" w:themeColor="text1"/>
          <w:sz w:val="28"/>
          <w:szCs w:val="28"/>
        </w:rPr>
        <w:t>Colicron</w:t>
      </w:r>
      <w:proofErr w:type="spellEnd"/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BB &amp; </w:t>
      </w:r>
      <w:r w:rsidRPr="00493A7F">
        <w:rPr>
          <w:rFonts w:ascii="Helvetica" w:hAnsi="Helvetica"/>
          <w:b/>
          <w:bCs/>
          <w:color w:val="000000" w:themeColor="text1"/>
          <w:sz w:val="28"/>
          <w:szCs w:val="28"/>
        </w:rPr>
        <w:t>Candida</w:t>
      </w:r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- </w:t>
      </w:r>
      <w:r w:rsidRPr="006A7108">
        <w:rPr>
          <w:rFonts w:ascii="Helvetica" w:hAnsi="Helvetica"/>
          <w:color w:val="000000" w:themeColor="text1"/>
        </w:rPr>
        <w:t>A crucial function of butyrate is preventing the shift of Candida from its harmless commensal yeast form into its invasive, pathogenic filamentous form. This is vital for controlling overgrowth.</w:t>
      </w:r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</w:t>
      </w:r>
      <w:r w:rsidRPr="006A7108">
        <w:rPr>
          <w:rFonts w:ascii="Helvetica" w:hAnsi="Helvetica"/>
          <w:color w:val="000000" w:themeColor="text1"/>
        </w:rPr>
        <w:t>Butyrate enhances the body's natural immune response by increasing the activity and killing power of macrophages against pathogenic yeasts.</w:t>
      </w:r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</w:t>
      </w:r>
    </w:p>
    <w:p w14:paraId="588B06FC" w14:textId="77777777" w:rsidR="00E31709" w:rsidRPr="00DF4563" w:rsidRDefault="00E31709" w:rsidP="00E31709">
      <w:pPr>
        <w:rPr>
          <w:rFonts w:ascii="Helvetica" w:hAnsi="Helvetica"/>
          <w:b/>
          <w:bCs/>
          <w:color w:val="000000" w:themeColor="text1"/>
          <w:sz w:val="28"/>
          <w:szCs w:val="28"/>
        </w:rPr>
      </w:pPr>
      <w:r w:rsidRPr="00EB6B55">
        <w:rPr>
          <w:rFonts w:ascii="Helvetica" w:hAnsi="Helvetica"/>
          <w:color w:val="000000" w:themeColor="text1"/>
        </w:rPr>
        <w:t>Both</w:t>
      </w:r>
      <w:r>
        <w:rPr>
          <w:rFonts w:ascii="Helvetica" w:hAnsi="Helvetica"/>
          <w:color w:val="000000" w:themeColor="text1"/>
        </w:rPr>
        <w:t xml:space="preserve"> butyrate and S. </w:t>
      </w:r>
      <w:proofErr w:type="spellStart"/>
      <w:r>
        <w:rPr>
          <w:rFonts w:ascii="Helvetica" w:hAnsi="Helvetica"/>
          <w:color w:val="000000" w:themeColor="text1"/>
        </w:rPr>
        <w:t>Boulardii</w:t>
      </w:r>
      <w:proofErr w:type="spellEnd"/>
      <w:r>
        <w:rPr>
          <w:rFonts w:ascii="Helvetica" w:hAnsi="Helvetica"/>
          <w:color w:val="000000" w:themeColor="text1"/>
        </w:rPr>
        <w:t xml:space="preserve"> </w:t>
      </w:r>
      <w:r w:rsidRPr="006A7108">
        <w:rPr>
          <w:rFonts w:ascii="Helvetica" w:hAnsi="Helvetica"/>
          <w:color w:val="000000" w:themeColor="text1"/>
        </w:rPr>
        <w:t>reinforce the intestinal barrier (via tight junction proteins), which helps prevent </w:t>
      </w:r>
      <w:r w:rsidRPr="007C0D96">
        <w:rPr>
          <w:rFonts w:ascii="Helvetica" w:hAnsi="Helvetica"/>
          <w:color w:val="000000" w:themeColor="text1"/>
        </w:rPr>
        <w:t>Candida </w:t>
      </w:r>
      <w:r w:rsidRPr="006A7108">
        <w:rPr>
          <w:rFonts w:ascii="Helvetica" w:hAnsi="Helvetica"/>
          <w:color w:val="000000" w:themeColor="text1"/>
        </w:rPr>
        <w:t>from translocating beyond the gut into the bloodstream. </w:t>
      </w:r>
    </w:p>
    <w:p w14:paraId="6897E143" w14:textId="77777777" w:rsidR="00E31709" w:rsidRPr="00EB6B55" w:rsidRDefault="00E31709" w:rsidP="00E31709">
      <w:pPr>
        <w:rPr>
          <w:rFonts w:ascii="Helvetica" w:hAnsi="Helvetica"/>
          <w:color w:val="000000" w:themeColor="text1"/>
        </w:rPr>
      </w:pPr>
      <w:r w:rsidRPr="006A7108">
        <w:rPr>
          <w:rFonts w:ascii="Helvetica" w:hAnsi="Helvetica"/>
          <w:color w:val="000000" w:themeColor="text1"/>
        </w:rPr>
        <w:lastRenderedPageBreak/>
        <w:t xml:space="preserve">S. </w:t>
      </w:r>
      <w:proofErr w:type="spellStart"/>
      <w:r>
        <w:rPr>
          <w:rFonts w:ascii="Helvetica" w:hAnsi="Helvetica"/>
          <w:color w:val="000000" w:themeColor="text1"/>
        </w:rPr>
        <w:t>B</w:t>
      </w:r>
      <w:r w:rsidRPr="006A7108">
        <w:rPr>
          <w:rFonts w:ascii="Helvetica" w:hAnsi="Helvetica"/>
          <w:color w:val="000000" w:themeColor="text1"/>
        </w:rPr>
        <w:t>oulardii</w:t>
      </w:r>
      <w:proofErr w:type="spellEnd"/>
      <w:r w:rsidRPr="006A7108">
        <w:rPr>
          <w:rFonts w:ascii="Helvetica" w:hAnsi="Helvetica"/>
          <w:color w:val="000000" w:themeColor="text1"/>
        </w:rPr>
        <w:t> secretes beneficial substances like capric acid and acetic acid, which have direct antifungal effects against </w:t>
      </w:r>
      <w:r w:rsidRPr="007C0D96">
        <w:rPr>
          <w:rFonts w:ascii="Helvetica" w:hAnsi="Helvetica"/>
          <w:color w:val="000000" w:themeColor="text1"/>
        </w:rPr>
        <w:t>Candida</w:t>
      </w:r>
      <w:r w:rsidRPr="006A7108">
        <w:rPr>
          <w:rFonts w:ascii="Helvetica" w:hAnsi="Helvetica"/>
          <w:color w:val="000000" w:themeColor="text1"/>
        </w:rPr>
        <w:t> specie</w:t>
      </w:r>
      <w:r w:rsidRPr="00EB6B55">
        <w:rPr>
          <w:rFonts w:ascii="Helvetica" w:hAnsi="Helvetica"/>
          <w:color w:val="000000" w:themeColor="text1"/>
        </w:rPr>
        <w:t xml:space="preserve">s </w:t>
      </w:r>
    </w:p>
    <w:p w14:paraId="25A9C0E0" w14:textId="77777777" w:rsidR="00E31709" w:rsidRPr="00EB6B55" w:rsidRDefault="00E31709" w:rsidP="00E31709">
      <w:pPr>
        <w:rPr>
          <w:rFonts w:ascii="Helvetica" w:hAnsi="Helvetica"/>
          <w:color w:val="000000" w:themeColor="text1"/>
        </w:rPr>
      </w:pPr>
      <w:r w:rsidRPr="00EB6B55">
        <w:rPr>
          <w:rFonts w:ascii="Helvetica" w:hAnsi="Helvetica"/>
          <w:color w:val="000000" w:themeColor="text1"/>
        </w:rPr>
        <w:t xml:space="preserve">S. </w:t>
      </w:r>
      <w:proofErr w:type="spellStart"/>
      <w:r w:rsidRPr="00EB6B55">
        <w:rPr>
          <w:rFonts w:ascii="Helvetica" w:hAnsi="Helvetica"/>
          <w:color w:val="000000" w:themeColor="text1"/>
        </w:rPr>
        <w:t>Boulardii</w:t>
      </w:r>
      <w:proofErr w:type="spellEnd"/>
      <w:r w:rsidRPr="00EB6B55">
        <w:rPr>
          <w:rFonts w:ascii="Helvetica" w:hAnsi="Helvetica"/>
          <w:color w:val="000000" w:themeColor="text1"/>
        </w:rPr>
        <w:t xml:space="preserve"> actively inhibits the ability of </w:t>
      </w:r>
      <w:r w:rsidRPr="007C0D96">
        <w:rPr>
          <w:rFonts w:ascii="Helvetica" w:hAnsi="Helvetica"/>
          <w:color w:val="000000" w:themeColor="text1"/>
        </w:rPr>
        <w:t>Candida</w:t>
      </w:r>
      <w:r w:rsidRPr="00EB6B55">
        <w:rPr>
          <w:rFonts w:ascii="Helvetica" w:hAnsi="Helvetica"/>
          <w:color w:val="000000" w:themeColor="text1"/>
        </w:rPr>
        <w:t> to form filaments (hyphae) and biofilms, the forms typically associated with infection and adhesion to gut walls.</w:t>
      </w:r>
    </w:p>
    <w:p w14:paraId="7C591CAD" w14:textId="77777777" w:rsidR="00E31709" w:rsidRPr="0028361F" w:rsidRDefault="00E31709" w:rsidP="00E31709">
      <w:pPr>
        <w:rPr>
          <w:rFonts w:ascii="Helvetica" w:hAnsi="Helvetica"/>
          <w:color w:val="000000" w:themeColor="text1"/>
        </w:rPr>
      </w:pPr>
      <w:r w:rsidRPr="006A7108">
        <w:rPr>
          <w:rFonts w:ascii="Helvetica" w:hAnsi="Helvetica"/>
          <w:color w:val="000000" w:themeColor="text1"/>
        </w:rPr>
        <w:t xml:space="preserve">As a non-colonizing yeast, </w:t>
      </w:r>
      <w:r w:rsidRPr="00EB6B55">
        <w:rPr>
          <w:rFonts w:ascii="Helvetica" w:hAnsi="Helvetica"/>
          <w:color w:val="000000" w:themeColor="text1"/>
        </w:rPr>
        <w:t xml:space="preserve">S. </w:t>
      </w:r>
      <w:proofErr w:type="spellStart"/>
      <w:r w:rsidRPr="00EB6B55">
        <w:rPr>
          <w:rFonts w:ascii="Helvetica" w:hAnsi="Helvetica"/>
          <w:color w:val="000000" w:themeColor="text1"/>
        </w:rPr>
        <w:t>Boulardii</w:t>
      </w:r>
      <w:proofErr w:type="spellEnd"/>
      <w:r w:rsidRPr="00EB6B55">
        <w:rPr>
          <w:rFonts w:ascii="Helvetica" w:hAnsi="Helvetica"/>
          <w:color w:val="000000" w:themeColor="text1"/>
        </w:rPr>
        <w:t xml:space="preserve"> </w:t>
      </w:r>
      <w:r w:rsidRPr="006A7108">
        <w:rPr>
          <w:rFonts w:ascii="Helvetica" w:hAnsi="Helvetica"/>
          <w:color w:val="000000" w:themeColor="text1"/>
        </w:rPr>
        <w:t>bind</w:t>
      </w:r>
      <w:r w:rsidRPr="00EB6B55">
        <w:rPr>
          <w:rFonts w:ascii="Helvetica" w:hAnsi="Helvetica"/>
          <w:color w:val="000000" w:themeColor="text1"/>
        </w:rPr>
        <w:t>s</w:t>
      </w:r>
      <w:r w:rsidRPr="006A7108">
        <w:rPr>
          <w:rFonts w:ascii="Helvetica" w:hAnsi="Helvetica"/>
          <w:color w:val="000000" w:themeColor="text1"/>
        </w:rPr>
        <w:t xml:space="preserve"> to </w:t>
      </w:r>
      <w:r w:rsidRPr="007C0D96">
        <w:rPr>
          <w:rFonts w:ascii="Helvetica" w:hAnsi="Helvetica"/>
          <w:color w:val="000000" w:themeColor="text1"/>
        </w:rPr>
        <w:t>Candida</w:t>
      </w:r>
      <w:r w:rsidRPr="006A7108">
        <w:rPr>
          <w:rFonts w:ascii="Helvetica" w:hAnsi="Helvetica"/>
          <w:color w:val="000000" w:themeColor="text1"/>
        </w:rPr>
        <w:t>-associated toxins within the GI tract and facilitate</w:t>
      </w:r>
      <w:r>
        <w:rPr>
          <w:rFonts w:ascii="Helvetica" w:hAnsi="Helvetica"/>
          <w:color w:val="000000" w:themeColor="text1"/>
        </w:rPr>
        <w:t>s</w:t>
      </w:r>
      <w:r w:rsidRPr="006A7108">
        <w:rPr>
          <w:rFonts w:ascii="Helvetica" w:hAnsi="Helvetica"/>
          <w:color w:val="000000" w:themeColor="text1"/>
        </w:rPr>
        <w:t xml:space="preserve"> their removal via stool</w:t>
      </w:r>
      <w:r>
        <w:rPr>
          <w:rFonts w:ascii="Helvetica" w:hAnsi="Helvetica"/>
          <w:color w:val="000000" w:themeColor="text1"/>
        </w:rPr>
        <w:t>s</w:t>
      </w:r>
      <w:r w:rsidRPr="006A7108">
        <w:rPr>
          <w:rFonts w:ascii="Helvetica" w:hAnsi="Helvetica"/>
          <w:color w:val="000000" w:themeColor="text1"/>
        </w:rPr>
        <w:t>, reducing the systemic impact of "die-off" reactions. </w:t>
      </w:r>
    </w:p>
    <w:p w14:paraId="01AE07BF" w14:textId="77777777" w:rsidR="00E31709" w:rsidRPr="00B06FD3" w:rsidRDefault="00E31709" w:rsidP="00E31709">
      <w:pPr>
        <w:rPr>
          <w:rFonts w:ascii="Helvetica" w:hAnsi="Helvetica"/>
          <w:b/>
          <w:bCs/>
          <w:color w:val="000000" w:themeColor="text1"/>
          <w:sz w:val="28"/>
          <w:szCs w:val="28"/>
        </w:rPr>
      </w:pPr>
      <w:proofErr w:type="spellStart"/>
      <w:r>
        <w:rPr>
          <w:rFonts w:ascii="Helvetica" w:hAnsi="Helvetica"/>
          <w:b/>
          <w:bCs/>
          <w:color w:val="000000" w:themeColor="text1"/>
          <w:sz w:val="28"/>
          <w:szCs w:val="28"/>
        </w:rPr>
        <w:t>Colicron</w:t>
      </w:r>
      <w:proofErr w:type="spellEnd"/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BB &amp; </w:t>
      </w:r>
      <w:r w:rsidRPr="00493A7F">
        <w:rPr>
          <w:rFonts w:ascii="Helvetica" w:hAnsi="Helvetica"/>
          <w:b/>
          <w:bCs/>
          <w:color w:val="000000" w:themeColor="text1"/>
          <w:sz w:val="28"/>
          <w:szCs w:val="28"/>
        </w:rPr>
        <w:t>Clostridioides difficile infection (CDI)</w:t>
      </w:r>
      <w:r>
        <w:rPr>
          <w:rFonts w:ascii="Helvetica" w:hAnsi="Helvetica"/>
          <w:b/>
          <w:bCs/>
          <w:color w:val="000000" w:themeColor="text1"/>
          <w:sz w:val="28"/>
          <w:szCs w:val="28"/>
        </w:rPr>
        <w:t xml:space="preserve"> - </w:t>
      </w:r>
      <w:r w:rsidRPr="00B61FC5">
        <w:rPr>
          <w:rFonts w:ascii="Helvetica" w:hAnsi="Helvetica"/>
          <w:color w:val="000000" w:themeColor="text1"/>
        </w:rPr>
        <w:t xml:space="preserve">Butyrate, </w:t>
      </w:r>
      <w:r w:rsidRPr="00857C91">
        <w:rPr>
          <w:rFonts w:ascii="Helvetica" w:hAnsi="Helvetica"/>
          <w:color w:val="000000" w:themeColor="text1"/>
        </w:rPr>
        <w:t>a short-chain fatty acid (SCFA) produced by beneficial gut bacteria, is often significantly reduced in patients with CDI-induced dysbiosis</w:t>
      </w:r>
      <w:r w:rsidRPr="00B61FC5">
        <w:rPr>
          <w:rFonts w:ascii="Helvetica" w:hAnsi="Helvetica"/>
          <w:color w:val="000000" w:themeColor="text1"/>
        </w:rPr>
        <w:t>.</w:t>
      </w:r>
    </w:p>
    <w:p w14:paraId="0C6BD746" w14:textId="77777777" w:rsidR="00E31709" w:rsidRPr="00B61FC5" w:rsidRDefault="00E31709" w:rsidP="00E31709">
      <w:pPr>
        <w:rPr>
          <w:rFonts w:ascii="Helvetica" w:hAnsi="Helvetica"/>
          <w:color w:val="000000" w:themeColor="text1"/>
        </w:rPr>
      </w:pPr>
      <w:r w:rsidRPr="00857C91">
        <w:rPr>
          <w:rFonts w:ascii="Helvetica" w:hAnsi="Helvetica"/>
          <w:color w:val="000000" w:themeColor="text1"/>
        </w:rPr>
        <w:t xml:space="preserve">S. </w:t>
      </w:r>
      <w:proofErr w:type="spellStart"/>
      <w:r>
        <w:rPr>
          <w:rFonts w:ascii="Helvetica" w:hAnsi="Helvetica"/>
          <w:color w:val="000000" w:themeColor="text1"/>
        </w:rPr>
        <w:t>B</w:t>
      </w:r>
      <w:r w:rsidRPr="00857C91">
        <w:rPr>
          <w:rFonts w:ascii="Helvetica" w:hAnsi="Helvetica"/>
          <w:color w:val="000000" w:themeColor="text1"/>
        </w:rPr>
        <w:t>oulardii</w:t>
      </w:r>
      <w:proofErr w:type="spellEnd"/>
      <w:r w:rsidRPr="00857C91">
        <w:rPr>
          <w:rFonts w:ascii="Helvetica" w:hAnsi="Helvetica"/>
          <w:color w:val="000000" w:themeColor="text1"/>
        </w:rPr>
        <w:t> releases a 54-kDa serine protease that can directly hydrolyze C. difficile toxins A and B, as well as their brush border membrane receptors in the human colon. This action reduces toxin binding and cellular damage.</w:t>
      </w:r>
      <w:r w:rsidRPr="00B61FC5">
        <w:rPr>
          <w:rFonts w:ascii="Helvetica" w:hAnsi="Helvetica"/>
          <w:color w:val="000000" w:themeColor="text1"/>
        </w:rPr>
        <w:t xml:space="preserve"> </w:t>
      </w:r>
    </w:p>
    <w:p w14:paraId="202E4458" w14:textId="77777777" w:rsidR="00E31709" w:rsidRPr="00B61FC5" w:rsidRDefault="00E31709" w:rsidP="00E31709">
      <w:pPr>
        <w:rPr>
          <w:rFonts w:ascii="Helvetica" w:hAnsi="Helvetica"/>
          <w:color w:val="000000" w:themeColor="text1"/>
        </w:rPr>
      </w:pPr>
      <w:r w:rsidRPr="00B61FC5">
        <w:rPr>
          <w:rFonts w:ascii="Helvetica" w:hAnsi="Helvetica"/>
          <w:color w:val="000000" w:themeColor="text1"/>
        </w:rPr>
        <w:t xml:space="preserve">Both S. </w:t>
      </w:r>
      <w:proofErr w:type="spellStart"/>
      <w:r w:rsidRPr="00B61FC5">
        <w:rPr>
          <w:rFonts w:ascii="Helvetica" w:hAnsi="Helvetica"/>
          <w:color w:val="000000" w:themeColor="text1"/>
        </w:rPr>
        <w:t>Boulardii</w:t>
      </w:r>
      <w:proofErr w:type="spellEnd"/>
      <w:r w:rsidRPr="00B61FC5">
        <w:rPr>
          <w:rFonts w:ascii="Helvetica" w:hAnsi="Helvetica"/>
          <w:color w:val="000000" w:themeColor="text1"/>
        </w:rPr>
        <w:t xml:space="preserve"> and Sodium Butyrate </w:t>
      </w:r>
      <w:r w:rsidRPr="00857C91">
        <w:rPr>
          <w:rFonts w:ascii="Helvetica" w:hAnsi="Helvetica"/>
          <w:color w:val="000000" w:themeColor="text1"/>
        </w:rPr>
        <w:t>exhibit potent anti-inflammatory effects by suppressing pro-inflammatory mediators and regulating the balance of immune cells by</w:t>
      </w:r>
      <w:r w:rsidRPr="00B61FC5">
        <w:rPr>
          <w:rFonts w:ascii="Helvetica" w:hAnsi="Helvetica"/>
          <w:color w:val="000000" w:themeColor="text1"/>
        </w:rPr>
        <w:t xml:space="preserve"> reducing colon inflammation and diarrhea.</w:t>
      </w:r>
    </w:p>
    <w:p w14:paraId="2A009903" w14:textId="77777777" w:rsidR="00E31709" w:rsidRPr="00B61FC5" w:rsidRDefault="00E31709" w:rsidP="00E31709">
      <w:pPr>
        <w:rPr>
          <w:rFonts w:ascii="Helvetica" w:hAnsi="Helvetica"/>
          <w:color w:val="000000" w:themeColor="text1"/>
        </w:rPr>
      </w:pPr>
      <w:r w:rsidRPr="00857C91">
        <w:rPr>
          <w:rFonts w:ascii="Helvetica" w:hAnsi="Helvetica"/>
          <w:color w:val="000000" w:themeColor="text1"/>
        </w:rPr>
        <w:t xml:space="preserve">S. </w:t>
      </w:r>
      <w:proofErr w:type="spellStart"/>
      <w:r w:rsidRPr="00B61FC5">
        <w:rPr>
          <w:rFonts w:ascii="Helvetica" w:hAnsi="Helvetica"/>
          <w:color w:val="000000" w:themeColor="text1"/>
        </w:rPr>
        <w:t>B</w:t>
      </w:r>
      <w:r w:rsidRPr="00857C91">
        <w:rPr>
          <w:rFonts w:ascii="Helvetica" w:hAnsi="Helvetica"/>
          <w:color w:val="000000" w:themeColor="text1"/>
        </w:rPr>
        <w:t>oulardii</w:t>
      </w:r>
      <w:proofErr w:type="spellEnd"/>
      <w:r w:rsidRPr="00B61FC5">
        <w:rPr>
          <w:rFonts w:ascii="Helvetica" w:hAnsi="Helvetica"/>
          <w:color w:val="000000" w:themeColor="text1"/>
        </w:rPr>
        <w:t xml:space="preserve"> and Butyrate support the intestinal barrier. S </w:t>
      </w:r>
      <w:proofErr w:type="spellStart"/>
      <w:r w:rsidRPr="00B61FC5">
        <w:rPr>
          <w:rFonts w:ascii="Helvetica" w:hAnsi="Helvetica"/>
          <w:color w:val="000000" w:themeColor="text1"/>
        </w:rPr>
        <w:t>Boulardii</w:t>
      </w:r>
      <w:proofErr w:type="spellEnd"/>
      <w:r w:rsidRPr="00857C91">
        <w:rPr>
          <w:rFonts w:ascii="Helvetica" w:hAnsi="Helvetica"/>
          <w:color w:val="000000" w:themeColor="text1"/>
        </w:rPr>
        <w:t> helps maintain intestinal barrier integrity and reduces intestinal permeability.</w:t>
      </w:r>
      <w:r w:rsidRPr="00B61FC5">
        <w:rPr>
          <w:rFonts w:ascii="Helvetica" w:hAnsi="Helvetica"/>
          <w:color w:val="000000" w:themeColor="text1"/>
        </w:rPr>
        <w:t xml:space="preserve"> Butyrate</w:t>
      </w:r>
      <w:r w:rsidRPr="00857C91">
        <w:rPr>
          <w:rFonts w:ascii="Helvetica" w:hAnsi="Helvetica"/>
          <w:color w:val="000000" w:themeColor="text1"/>
        </w:rPr>
        <w:t xml:space="preserve"> is the primary energy source for colonocytes and promotes the integrity and maintenance of the epithelial barrier by increasing the expression of tight junction proteins (e.g., Claudin-1, </w:t>
      </w:r>
      <w:proofErr w:type="spellStart"/>
      <w:r w:rsidRPr="00857C91">
        <w:rPr>
          <w:rFonts w:ascii="Helvetica" w:hAnsi="Helvetica"/>
          <w:color w:val="000000" w:themeColor="text1"/>
        </w:rPr>
        <w:t>Occludin</w:t>
      </w:r>
      <w:proofErr w:type="spellEnd"/>
      <w:r w:rsidRPr="00857C91">
        <w:rPr>
          <w:rFonts w:ascii="Helvetica" w:hAnsi="Helvetica"/>
          <w:color w:val="000000" w:themeColor="text1"/>
        </w:rPr>
        <w:t>) and strengthening the mucus layer.</w:t>
      </w:r>
    </w:p>
    <w:p w14:paraId="73FAC365" w14:textId="77777777" w:rsidR="00E31709" w:rsidRPr="00B61FC5" w:rsidRDefault="00E31709" w:rsidP="00E31709">
      <w:pPr>
        <w:rPr>
          <w:rFonts w:ascii="Helvetica" w:hAnsi="Helvetica"/>
          <w:color w:val="000000" w:themeColor="text1"/>
        </w:rPr>
      </w:pPr>
      <w:r w:rsidRPr="00B61FC5">
        <w:rPr>
          <w:rFonts w:ascii="Helvetica" w:hAnsi="Helvetica"/>
          <w:color w:val="000000" w:themeColor="text1"/>
        </w:rPr>
        <w:t xml:space="preserve">Butyrate interacts with </w:t>
      </w:r>
      <w:proofErr w:type="spellStart"/>
      <w:r w:rsidRPr="00B61FC5">
        <w:rPr>
          <w:rFonts w:ascii="Helvetica" w:hAnsi="Helvetica"/>
          <w:color w:val="000000" w:themeColor="text1"/>
        </w:rPr>
        <w:t>Farnesoid</w:t>
      </w:r>
      <w:proofErr w:type="spellEnd"/>
      <w:r w:rsidRPr="00B61FC5">
        <w:rPr>
          <w:rFonts w:ascii="Helvetica" w:hAnsi="Helvetica"/>
          <w:color w:val="000000" w:themeColor="text1"/>
        </w:rPr>
        <w:t xml:space="preserve"> X Receptor [FXR} a bile acid sensor. Butyrate’s communication with FXR controls bile acid levels, inflammation, and metabolic pathways, including Butyrate stimulated hormones such as GLP1. This relationship is key as Butyrate </w:t>
      </w:r>
      <w:r w:rsidRPr="00857C91">
        <w:rPr>
          <w:rFonts w:ascii="Helvetica" w:hAnsi="Helvetica"/>
          <w:color w:val="000000" w:themeColor="text1"/>
        </w:rPr>
        <w:t>promot</w:t>
      </w:r>
      <w:r w:rsidRPr="00B61FC5">
        <w:rPr>
          <w:rFonts w:ascii="Helvetica" w:hAnsi="Helvetica"/>
          <w:color w:val="000000" w:themeColor="text1"/>
        </w:rPr>
        <w:t>es</w:t>
      </w:r>
      <w:r w:rsidRPr="00857C91">
        <w:rPr>
          <w:rFonts w:ascii="Helvetica" w:hAnsi="Helvetica"/>
          <w:color w:val="000000" w:themeColor="text1"/>
        </w:rPr>
        <w:t xml:space="preserve"> the production of secondary bile acids (which inhibit </w:t>
      </w:r>
      <w:r w:rsidRPr="007C0D96">
        <w:rPr>
          <w:rFonts w:ascii="Helvetica" w:hAnsi="Helvetica"/>
          <w:color w:val="000000" w:themeColor="text1"/>
        </w:rPr>
        <w:t>C. difficile</w:t>
      </w:r>
      <w:r w:rsidRPr="00857C91">
        <w:rPr>
          <w:rFonts w:ascii="Helvetica" w:hAnsi="Helvetica"/>
          <w:color w:val="000000" w:themeColor="text1"/>
        </w:rPr>
        <w:t> growth) and reduc</w:t>
      </w:r>
      <w:r w:rsidRPr="00B61FC5">
        <w:rPr>
          <w:rFonts w:ascii="Helvetica" w:hAnsi="Helvetica"/>
          <w:color w:val="000000" w:themeColor="text1"/>
        </w:rPr>
        <w:t>es</w:t>
      </w:r>
      <w:r w:rsidRPr="00857C91">
        <w:rPr>
          <w:rFonts w:ascii="Helvetica" w:hAnsi="Helvetica"/>
          <w:color w:val="000000" w:themeColor="text1"/>
        </w:rPr>
        <w:t xml:space="preserve"> primary bile acids (which promote spore germination).</w:t>
      </w:r>
      <w:r w:rsidRPr="00B61FC5">
        <w:rPr>
          <w:rFonts w:ascii="Helvetica" w:hAnsi="Helvetica"/>
          <w:color w:val="000000" w:themeColor="text1"/>
        </w:rPr>
        <w:t xml:space="preserve"> Finally, FXR is involved in antibacterial defense and barrier function.</w:t>
      </w:r>
    </w:p>
    <w:p w14:paraId="7626DDD5" w14:textId="77777777" w:rsidR="00E31709" w:rsidRDefault="00E31709" w:rsidP="00E31709">
      <w:pPr>
        <w:rPr>
          <w:rFonts w:ascii="Helvetica" w:hAnsi="Helvetica"/>
          <w:color w:val="000000" w:themeColor="text1"/>
        </w:rPr>
      </w:pPr>
      <w:r w:rsidRPr="00B61FC5">
        <w:rPr>
          <w:rFonts w:ascii="Helvetica" w:hAnsi="Helvetica"/>
          <w:color w:val="000000" w:themeColor="text1"/>
        </w:rPr>
        <w:t xml:space="preserve">S. </w:t>
      </w:r>
      <w:proofErr w:type="spellStart"/>
      <w:r w:rsidRPr="00B61FC5">
        <w:rPr>
          <w:rFonts w:ascii="Helvetica" w:hAnsi="Helvetica"/>
          <w:color w:val="000000" w:themeColor="text1"/>
        </w:rPr>
        <w:t>Boulardii</w:t>
      </w:r>
      <w:proofErr w:type="spellEnd"/>
      <w:r w:rsidRPr="00B61FC5">
        <w:rPr>
          <w:rFonts w:ascii="Helvetica" w:hAnsi="Helvetica"/>
          <w:color w:val="000000" w:themeColor="text1"/>
        </w:rPr>
        <w:t xml:space="preserve"> and Butyrate both support Immune modulation, including the production of anti-toxin A immunoglobulin A [IgA] antibodies</w:t>
      </w:r>
      <w:r>
        <w:rPr>
          <w:rFonts w:ascii="Helvetica" w:hAnsi="Helvetica"/>
          <w:color w:val="000000" w:themeColor="text1"/>
        </w:rPr>
        <w:t>, which clear pathogens and toxins from the intestinal tract, and both ingredients support the microbiome,</w:t>
      </w:r>
      <w:r w:rsidRPr="00B61FC5">
        <w:rPr>
          <w:rFonts w:ascii="Helvetica" w:hAnsi="Helvetica"/>
          <w:color w:val="000000" w:themeColor="text1"/>
        </w:rPr>
        <w:t xml:space="preserve"> which is typically severely disrupted at this point</w:t>
      </w:r>
      <w:r>
        <w:rPr>
          <w:rFonts w:ascii="Helvetica" w:hAnsi="Helvetica"/>
          <w:color w:val="000000" w:themeColor="text1"/>
        </w:rPr>
        <w:t>.</w:t>
      </w:r>
    </w:p>
    <w:p w14:paraId="4C191868" w14:textId="77777777" w:rsidR="00E31709" w:rsidRPr="00110C00" w:rsidRDefault="00E31709" w:rsidP="00E31709">
      <w:pPr>
        <w:jc w:val="center"/>
        <w:rPr>
          <w:rFonts w:ascii="Helvetica" w:hAnsi="Helvetica"/>
          <w:b/>
          <w:bCs/>
          <w:color w:val="000000" w:themeColor="text1"/>
        </w:rPr>
      </w:pPr>
      <w:r w:rsidRPr="00110C00">
        <w:rPr>
          <w:rFonts w:ascii="Helvetica" w:hAnsi="Helvetica"/>
          <w:b/>
          <w:bCs/>
          <w:color w:val="000000" w:themeColor="text1"/>
        </w:rPr>
        <w:t>Together</w:t>
      </w:r>
      <w:r>
        <w:rPr>
          <w:rFonts w:ascii="Helvetica" w:hAnsi="Helvetica"/>
          <w:b/>
          <w:bCs/>
          <w:color w:val="000000" w:themeColor="text1"/>
        </w:rPr>
        <w:t>,</w:t>
      </w:r>
      <w:r w:rsidRPr="00110C00">
        <w:rPr>
          <w:rFonts w:ascii="Helvetica" w:hAnsi="Helvetica"/>
          <w:b/>
          <w:bCs/>
          <w:color w:val="000000" w:themeColor="text1"/>
        </w:rPr>
        <w:t xml:space="preserve"> </w:t>
      </w:r>
      <w:proofErr w:type="spellStart"/>
      <w:r w:rsidRPr="00110C00">
        <w:rPr>
          <w:rFonts w:ascii="Helvetica" w:hAnsi="Helvetica"/>
          <w:b/>
          <w:bCs/>
          <w:color w:val="000000" w:themeColor="text1"/>
        </w:rPr>
        <w:t>Colicron</w:t>
      </w:r>
      <w:proofErr w:type="spellEnd"/>
      <w:r w:rsidRPr="00110C00">
        <w:rPr>
          <w:rFonts w:ascii="Helvetica" w:hAnsi="Helvetica"/>
          <w:b/>
          <w:bCs/>
          <w:color w:val="000000" w:themeColor="text1"/>
        </w:rPr>
        <w:t xml:space="preserve"> </w:t>
      </w:r>
      <w:r w:rsidRPr="00110C00">
        <w:rPr>
          <w:rFonts w:ascii="Helvetica" w:hAnsi="Helvetica"/>
          <w:b/>
          <w:bCs/>
          <w:i/>
          <w:iCs/>
          <w:color w:val="000000" w:themeColor="text1"/>
        </w:rPr>
        <w:t xml:space="preserve">Duo </w:t>
      </w:r>
      <w:r w:rsidRPr="00110C00">
        <w:rPr>
          <w:rFonts w:ascii="Helvetica" w:hAnsi="Helvetica"/>
          <w:b/>
          <w:bCs/>
          <w:color w:val="000000" w:themeColor="text1"/>
        </w:rPr>
        <w:t xml:space="preserve">and </w:t>
      </w:r>
      <w:proofErr w:type="spellStart"/>
      <w:r w:rsidRPr="00110C00">
        <w:rPr>
          <w:rFonts w:ascii="Helvetica" w:hAnsi="Helvetica"/>
          <w:b/>
          <w:bCs/>
          <w:color w:val="000000" w:themeColor="text1"/>
        </w:rPr>
        <w:t>Colicron</w:t>
      </w:r>
      <w:proofErr w:type="spellEnd"/>
      <w:r w:rsidRPr="00110C00">
        <w:rPr>
          <w:rFonts w:ascii="Helvetica" w:hAnsi="Helvetica"/>
          <w:b/>
          <w:bCs/>
          <w:color w:val="000000" w:themeColor="text1"/>
        </w:rPr>
        <w:t xml:space="preserve"> BB offer a very effective and extremely simple program, no more than 2 capsules twice per day, to improve </w:t>
      </w:r>
      <w:r>
        <w:rPr>
          <w:rFonts w:ascii="Helvetica" w:hAnsi="Helvetica"/>
          <w:b/>
          <w:bCs/>
          <w:color w:val="000000" w:themeColor="text1"/>
        </w:rPr>
        <w:t xml:space="preserve">the patient's gut health, remove pathogens, and </w:t>
      </w:r>
      <w:proofErr w:type="gramStart"/>
      <w:r>
        <w:rPr>
          <w:rFonts w:ascii="Helvetica" w:hAnsi="Helvetica"/>
          <w:b/>
          <w:bCs/>
          <w:color w:val="000000" w:themeColor="text1"/>
        </w:rPr>
        <w:t>impact</w:t>
      </w:r>
      <w:proofErr w:type="gramEnd"/>
      <w:r>
        <w:rPr>
          <w:rFonts w:ascii="Helvetica" w:hAnsi="Helvetica"/>
          <w:b/>
          <w:bCs/>
          <w:color w:val="000000" w:themeColor="text1"/>
        </w:rPr>
        <w:t xml:space="preserve"> the patient's</w:t>
      </w:r>
      <w:r w:rsidRPr="00110C00">
        <w:rPr>
          <w:rFonts w:ascii="Helvetica" w:hAnsi="Helvetica"/>
          <w:b/>
          <w:bCs/>
          <w:color w:val="000000" w:themeColor="text1"/>
        </w:rPr>
        <w:t xml:space="preserve"> quality of life.</w:t>
      </w:r>
    </w:p>
    <w:p w14:paraId="79CA3A80" w14:textId="7EF282B4" w:rsidR="00E31709" w:rsidRDefault="00E31709" w:rsidP="00E31709">
      <w:pPr>
        <w:jc w:val="center"/>
        <w:rPr>
          <w:rFonts w:ascii="Helvetica" w:hAnsi="Helvetica"/>
          <w:color w:val="000000" w:themeColor="text1"/>
        </w:rPr>
      </w:pPr>
      <w:r>
        <w:rPr>
          <w:rFonts w:ascii="Helvetica" w:hAnsi="Helvetica"/>
          <w:color w:val="000000" w:themeColor="text1"/>
        </w:rPr>
        <w:t>For stubborn cases, consider adding Bio-Film Detox from Doctors</w:t>
      </w:r>
      <w:r>
        <w:rPr>
          <w:rFonts w:ascii="Helvetica" w:hAnsi="Helvetica"/>
          <w:color w:val="000000" w:themeColor="text1"/>
        </w:rPr>
        <w:t>’</w:t>
      </w:r>
      <w:r>
        <w:rPr>
          <w:rFonts w:ascii="Helvetica" w:hAnsi="Helvetica"/>
          <w:color w:val="000000" w:themeColor="text1"/>
        </w:rPr>
        <w:t xml:space="preserve"> Research and repeat the program if necessary.</w:t>
      </w:r>
    </w:p>
    <w:p w14:paraId="5E332FD8" w14:textId="77777777" w:rsidR="00E31709" w:rsidRPr="0031580C" w:rsidRDefault="00E31709" w:rsidP="00E31709">
      <w:pPr>
        <w:pStyle w:val="NormalWeb"/>
        <w:jc w:val="center"/>
        <w:rPr>
          <w:rFonts w:ascii="Helvetica" w:hAnsi="Helvetica"/>
          <w:sz w:val="28"/>
          <w:szCs w:val="28"/>
        </w:rPr>
      </w:pPr>
      <w:r w:rsidRPr="0031580C">
        <w:rPr>
          <w:rFonts w:ascii="Helvetica" w:hAnsi="Helvetica"/>
          <w:sz w:val="28"/>
          <w:szCs w:val="28"/>
        </w:rPr>
        <w:t xml:space="preserve">Order at </w:t>
      </w:r>
      <w:hyperlink r:id="rId6" w:history="1">
        <w:r w:rsidRPr="0031580C">
          <w:rPr>
            <w:rStyle w:val="Hyperlink"/>
            <w:rFonts w:ascii="Helvetica" w:hAnsi="Helvetica"/>
            <w:sz w:val="28"/>
            <w:szCs w:val="28"/>
          </w:rPr>
          <w:t>www.alivedalabs.com</w:t>
        </w:r>
      </w:hyperlink>
      <w:r w:rsidRPr="0031580C">
        <w:rPr>
          <w:rFonts w:ascii="Helvetica" w:hAnsi="Helvetica"/>
          <w:sz w:val="28"/>
          <w:szCs w:val="28"/>
        </w:rPr>
        <w:t xml:space="preserve"> for the Practitioner offer price of $</w:t>
      </w:r>
      <w:r>
        <w:rPr>
          <w:rFonts w:ascii="Helvetica" w:hAnsi="Helvetica"/>
          <w:sz w:val="28"/>
          <w:szCs w:val="28"/>
        </w:rPr>
        <w:t>90</w:t>
      </w:r>
      <w:r w:rsidRPr="0031580C">
        <w:rPr>
          <w:rFonts w:ascii="Helvetica" w:hAnsi="Helvetica"/>
          <w:sz w:val="28"/>
          <w:szCs w:val="28"/>
        </w:rPr>
        <w:t>.00</w:t>
      </w:r>
    </w:p>
    <w:p w14:paraId="5FF4F319" w14:textId="77777777" w:rsidR="00BB6F6C" w:rsidRDefault="00BB6F6C"/>
    <w:sectPr w:rsidR="00BB6F6C" w:rsidSect="00E3170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437F8F"/>
    <w:multiLevelType w:val="hybridMultilevel"/>
    <w:tmpl w:val="09C07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00257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709"/>
    <w:rsid w:val="0036646C"/>
    <w:rsid w:val="00790993"/>
    <w:rsid w:val="00820AA8"/>
    <w:rsid w:val="00BB6F6C"/>
    <w:rsid w:val="00E31709"/>
    <w:rsid w:val="00F35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897596"/>
  <w15:chartTrackingRefBased/>
  <w15:docId w15:val="{51FD0A51-7715-43A2-AF3A-E16C1BED8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1709"/>
  </w:style>
  <w:style w:type="paragraph" w:styleId="Heading1">
    <w:name w:val="heading 1"/>
    <w:basedOn w:val="Normal"/>
    <w:next w:val="Normal"/>
    <w:link w:val="Heading1Char"/>
    <w:uiPriority w:val="9"/>
    <w:qFormat/>
    <w:rsid w:val="00E317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17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17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17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17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17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17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17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17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17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17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17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17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17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17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17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17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17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17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17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17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17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17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17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17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17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17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17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170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3170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317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31709"/>
    <w:rPr>
      <w:b/>
      <w:bCs/>
    </w:rPr>
  </w:style>
  <w:style w:type="paragraph" w:customStyle="1" w:styleId="p1">
    <w:name w:val="p1"/>
    <w:basedOn w:val="Normal"/>
    <w:rsid w:val="00E31709"/>
    <w:pPr>
      <w:spacing w:after="0" w:line="240" w:lineRule="auto"/>
    </w:pPr>
    <w:rPr>
      <w:rFonts w:ascii="Helvetica" w:eastAsia="Times New Roman" w:hAnsi="Helvetica" w:cs="Times New Roman"/>
      <w:color w:val="0E5649"/>
      <w:kern w:val="0"/>
      <w:sz w:val="18"/>
      <w:szCs w:val="18"/>
      <w14:ligatures w14:val="none"/>
    </w:rPr>
  </w:style>
  <w:style w:type="paragraph" w:customStyle="1" w:styleId="p3">
    <w:name w:val="p3"/>
    <w:basedOn w:val="Normal"/>
    <w:rsid w:val="00E31709"/>
    <w:pPr>
      <w:spacing w:after="0" w:line="240" w:lineRule="auto"/>
    </w:pPr>
    <w:rPr>
      <w:rFonts w:ascii="Helvetica" w:eastAsia="Times New Roman" w:hAnsi="Helvetica" w:cs="Times New Roman"/>
      <w:color w:val="262626"/>
      <w:kern w:val="0"/>
      <w:sz w:val="18"/>
      <w:szCs w:val="18"/>
      <w14:ligatures w14:val="none"/>
    </w:rPr>
  </w:style>
  <w:style w:type="character" w:customStyle="1" w:styleId="s1">
    <w:name w:val="s1"/>
    <w:basedOn w:val="DefaultParagraphFont"/>
    <w:rsid w:val="00E3170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ivedalabs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811</Words>
  <Characters>4624</Characters>
  <Application>Microsoft Office Word</Application>
  <DocSecurity>0</DocSecurity>
  <Lines>38</Lines>
  <Paragraphs>10</Paragraphs>
  <ScaleCrop>false</ScaleCrop>
  <Company/>
  <LinksUpToDate>false</LinksUpToDate>
  <CharactersWithSpaces>5425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Close</dc:creator>
  <cp:keywords/>
  <dc:description/>
  <cp:lastModifiedBy>Morgan Close</cp:lastModifiedBy>
  <cp:revision>1</cp:revision>
  <dcterms:created xsi:type="dcterms:W3CDTF">2026-02-16T19:37:00Z</dcterms:created>
  <dcterms:modified xsi:type="dcterms:W3CDTF">2026-02-16T19:38:00Z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823f1eda-aefc-4e6f-ae6e-598d4f4d061c</vt:lpwstr>
  </property>
</Properties>
</file>